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Ind w:w="-612" w:type="dxa"/>
        <w:tblLayout w:type="fixed"/>
        <w:tblLook w:val="04A0" w:firstRow="1" w:lastRow="0" w:firstColumn="1" w:lastColumn="0" w:noHBand="0" w:noVBand="1"/>
      </w:tblPr>
      <w:tblGrid>
        <w:gridCol w:w="5398"/>
        <w:gridCol w:w="4787"/>
      </w:tblGrid>
      <w:tr w:rsidR="00D0395A" w:rsidRPr="00651DDA" w:rsidTr="00602757">
        <w:tc>
          <w:tcPr>
            <w:tcW w:w="5400" w:type="dxa"/>
          </w:tcPr>
          <w:p w:rsidR="00D0395A" w:rsidRPr="00651DDA" w:rsidRDefault="00D0395A" w:rsidP="00602757">
            <w:pPr>
              <w:jc w:val="center"/>
              <w:rPr>
                <w:rFonts w:asciiTheme="minorHAnsi" w:eastAsiaTheme="minorEastAsia" w:hAnsiTheme="minorHAnsi" w:cs="Arial"/>
                <w:lang w:bidi="en-US"/>
              </w:rPr>
            </w:pPr>
            <w:r w:rsidRPr="00651DDA">
              <w:rPr>
                <w:noProof/>
                <w:lang w:eastAsia="es-ES"/>
              </w:rPr>
              <w:drawing>
                <wp:anchor distT="0" distB="0" distL="114300" distR="114300" simplePos="0" relativeHeight="251659264" behindDoc="0" locked="0" layoutInCell="1" allowOverlap="1" wp14:anchorId="34BB3BEF" wp14:editId="0DF70643">
                  <wp:simplePos x="0" y="0"/>
                  <wp:positionH relativeFrom="column">
                    <wp:posOffset>426085</wp:posOffset>
                  </wp:positionH>
                  <wp:positionV relativeFrom="paragraph">
                    <wp:posOffset>0</wp:posOffset>
                  </wp:positionV>
                  <wp:extent cx="1941195" cy="1409700"/>
                  <wp:effectExtent l="0" t="0" r="0" b="0"/>
                  <wp:wrapThrough wrapText="bothSides">
                    <wp:wrapPolygon edited="0">
                      <wp:start x="0" y="0"/>
                      <wp:lineTo x="0" y="21308"/>
                      <wp:lineTo x="21409" y="21308"/>
                      <wp:lineTo x="21409" y="0"/>
                      <wp:lineTo x="0" y="0"/>
                    </wp:wrapPolygon>
                  </wp:wrapThrough>
                  <wp:docPr id="3" name="Picture 5" descr="Orbit Research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Users\A\Documents\Doc\Orbit\Logo\Orbit Logo v1.32a - small.jpg"/>
                          <pic:cNvPicPr>
                            <a:picLocks noChangeAspect="1" noChangeArrowheads="1"/>
                          </pic:cNvPicPr>
                        </pic:nvPicPr>
                        <pic:blipFill>
                          <a:blip r:embed="rId5" cstate="print"/>
                          <a:srcRect/>
                          <a:stretch>
                            <a:fillRect/>
                          </a:stretch>
                        </pic:blipFill>
                        <pic:spPr bwMode="auto">
                          <a:xfrm>
                            <a:off x="0" y="0"/>
                            <a:ext cx="1941195" cy="1409700"/>
                          </a:xfrm>
                          <a:prstGeom prst="rect">
                            <a:avLst/>
                          </a:prstGeom>
                          <a:noFill/>
                        </pic:spPr>
                      </pic:pic>
                    </a:graphicData>
                  </a:graphic>
                  <wp14:sizeRelH relativeFrom="margin">
                    <wp14:pctWidth>0</wp14:pctWidth>
                  </wp14:sizeRelH>
                  <wp14:sizeRelV relativeFrom="margin">
                    <wp14:pctHeight>0</wp14:pctHeight>
                  </wp14:sizeRelV>
                </wp:anchor>
              </w:drawing>
            </w:r>
          </w:p>
          <w:p w:rsidR="00D0395A" w:rsidRPr="00F73313" w:rsidRDefault="00D0395A" w:rsidP="00602757">
            <w:pPr>
              <w:spacing w:line="276" w:lineRule="auto"/>
              <w:jc w:val="center"/>
              <w:rPr>
                <w:rFonts w:asciiTheme="minorHAnsi" w:eastAsiaTheme="minorEastAsia" w:hAnsiTheme="minorHAnsi" w:cs="Arial"/>
                <w:b/>
                <w:i/>
                <w:sz w:val="28"/>
                <w:szCs w:val="20"/>
                <w:lang w:bidi="en-US"/>
              </w:rPr>
            </w:pPr>
          </w:p>
        </w:tc>
        <w:tc>
          <w:tcPr>
            <w:tcW w:w="4788" w:type="dxa"/>
            <w:hideMark/>
          </w:tcPr>
          <w:p w:rsidR="00D0395A" w:rsidRPr="00651DDA" w:rsidRDefault="00D0395A" w:rsidP="00602757">
            <w:pPr>
              <w:spacing w:line="276" w:lineRule="auto"/>
              <w:jc w:val="center"/>
              <w:rPr>
                <w:rFonts w:asciiTheme="minorHAnsi" w:eastAsiaTheme="minorEastAsia" w:hAnsiTheme="minorHAnsi" w:cs="Arial"/>
                <w:b/>
                <w:i/>
                <w:color w:val="999999"/>
                <w:sz w:val="28"/>
                <w:szCs w:val="20"/>
                <w:lang w:bidi="en-US"/>
              </w:rPr>
            </w:pPr>
          </w:p>
        </w:tc>
      </w:tr>
    </w:tbl>
    <w:p w:rsidR="00D0395A" w:rsidRPr="00651DDA" w:rsidRDefault="00D0395A" w:rsidP="00D0395A">
      <w:pPr>
        <w:ind w:firstLine="720"/>
        <w:jc w:val="center"/>
        <w:rPr>
          <w:rFonts w:ascii="Calibri" w:hAnsi="Calibri" w:cs="Arial"/>
          <w:b/>
          <w:bCs/>
          <w:color w:val="000000"/>
          <w:sz w:val="20"/>
          <w:szCs w:val="20"/>
          <w:lang w:bidi="en-US"/>
        </w:rPr>
      </w:pPr>
    </w:p>
    <w:p w:rsidR="00D0395A" w:rsidRPr="00651DDA" w:rsidRDefault="00D0395A" w:rsidP="00D0395A">
      <w:pPr>
        <w:autoSpaceDE w:val="0"/>
        <w:autoSpaceDN w:val="0"/>
        <w:adjustRightInd w:val="0"/>
        <w:spacing w:line="239" w:lineRule="atLeast"/>
        <w:jc w:val="center"/>
        <w:rPr>
          <w:rFonts w:cs="Arial"/>
          <w:b/>
          <w:bCs/>
          <w:color w:val="000000"/>
          <w:sz w:val="44"/>
          <w:szCs w:val="44"/>
        </w:rPr>
      </w:pPr>
    </w:p>
    <w:p w:rsidR="00D0395A" w:rsidRPr="00651DDA" w:rsidRDefault="00D0395A" w:rsidP="00D0395A">
      <w:pPr>
        <w:jc w:val="center"/>
        <w:rPr>
          <w:rFonts w:cs="Arial"/>
          <w:b/>
          <w:i/>
          <w:caps/>
          <w:color w:val="333333"/>
          <w:sz w:val="56"/>
          <w:szCs w:val="96"/>
        </w:rPr>
      </w:pPr>
    </w:p>
    <w:p w:rsidR="00D0395A" w:rsidRPr="00651DDA" w:rsidRDefault="00D0395A" w:rsidP="00D0395A">
      <w:pPr>
        <w:jc w:val="center"/>
        <w:rPr>
          <w:rFonts w:cs="Arial"/>
          <w:b/>
          <w:i/>
          <w:caps/>
          <w:color w:val="333333"/>
          <w:sz w:val="56"/>
          <w:szCs w:val="96"/>
        </w:rPr>
      </w:pPr>
    </w:p>
    <w:p w:rsidR="00D0395A" w:rsidRPr="00651DDA" w:rsidRDefault="00D0395A" w:rsidP="00D0395A">
      <w:pPr>
        <w:jc w:val="center"/>
        <w:rPr>
          <w:rFonts w:cs="Arial"/>
          <w:b/>
          <w:i/>
          <w:caps/>
          <w:color w:val="333333"/>
          <w:sz w:val="56"/>
          <w:szCs w:val="96"/>
        </w:rPr>
      </w:pPr>
    </w:p>
    <w:p w:rsidR="00D0395A" w:rsidRPr="00651DDA" w:rsidRDefault="00D0395A" w:rsidP="00D0395A">
      <w:pPr>
        <w:jc w:val="center"/>
        <w:rPr>
          <w:rFonts w:cs="Arial"/>
          <w:b/>
          <w:i/>
          <w:sz w:val="44"/>
          <w:szCs w:val="44"/>
        </w:rPr>
      </w:pPr>
    </w:p>
    <w:p w:rsidR="00D0395A" w:rsidRDefault="00D0395A" w:rsidP="00D0395A">
      <w:pPr>
        <w:pStyle w:val="Ttulo"/>
        <w:jc w:val="center"/>
        <w:rPr>
          <w:lang w:eastAsia="en-IN"/>
        </w:rPr>
      </w:pPr>
      <w:r w:rsidRPr="00D0395A">
        <w:rPr>
          <w:lang w:eastAsia="en-IN"/>
        </w:rPr>
        <w:t>Guía Rápida de Puesta en Marcha</w:t>
      </w:r>
    </w:p>
    <w:p w:rsidR="00D0395A" w:rsidRPr="00651DDA" w:rsidRDefault="00D0395A" w:rsidP="00D0395A">
      <w:pPr>
        <w:pStyle w:val="Subttulo"/>
        <w:jc w:val="center"/>
        <w:rPr>
          <w:rFonts w:cs="Arial"/>
          <w:i/>
          <w:caps/>
          <w:color w:val="333333"/>
          <w:szCs w:val="96"/>
        </w:rPr>
      </w:pPr>
      <w:r w:rsidRPr="00F73313">
        <w:rPr>
          <w:lang w:eastAsia="en-IN"/>
        </w:rPr>
        <w:t>Lector Orbit  20™</w:t>
      </w:r>
    </w:p>
    <w:p w:rsidR="00D0395A" w:rsidRPr="00651DDA" w:rsidRDefault="00D0395A" w:rsidP="00D0395A">
      <w:pPr>
        <w:jc w:val="center"/>
        <w:rPr>
          <w:b/>
          <w:i/>
          <w:sz w:val="52"/>
          <w:szCs w:val="44"/>
        </w:rPr>
      </w:pPr>
    </w:p>
    <w:p w:rsidR="00D0395A" w:rsidRPr="00651DDA" w:rsidRDefault="00D0395A" w:rsidP="00D0395A">
      <w:pPr>
        <w:jc w:val="center"/>
        <w:rPr>
          <w:b/>
          <w:i/>
          <w:sz w:val="52"/>
          <w:szCs w:val="44"/>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sz w:val="22"/>
          <w:szCs w:val="22"/>
        </w:rPr>
      </w:pPr>
    </w:p>
    <w:p w:rsidR="00D0395A" w:rsidRPr="00651DDA" w:rsidRDefault="00D0395A" w:rsidP="00D0395A">
      <w:pPr>
        <w:jc w:val="center"/>
        <w:rPr>
          <w:rFonts w:cs="Arial"/>
          <w:b/>
        </w:rPr>
      </w:pPr>
    </w:p>
    <w:p w:rsidR="00D0395A" w:rsidRPr="00651DDA" w:rsidRDefault="00D0395A" w:rsidP="00D0395A">
      <w:pPr>
        <w:jc w:val="center"/>
        <w:rPr>
          <w:rFonts w:cs="Arial"/>
          <w:b/>
        </w:rPr>
      </w:pPr>
    </w:p>
    <w:p w:rsidR="00D0395A" w:rsidRPr="00651DDA" w:rsidRDefault="00D0395A" w:rsidP="00D0395A">
      <w:pPr>
        <w:jc w:val="center"/>
        <w:rPr>
          <w:rFonts w:cs="Arial"/>
          <w:b/>
        </w:rPr>
      </w:pPr>
    </w:p>
    <w:p w:rsidR="00D0395A" w:rsidRPr="00651DDA" w:rsidRDefault="00D0395A" w:rsidP="00D0395A">
      <w:pPr>
        <w:jc w:val="center"/>
        <w:rPr>
          <w:rFonts w:cs="Arial"/>
          <w:b/>
        </w:rPr>
      </w:pPr>
    </w:p>
    <w:p w:rsidR="00D0395A" w:rsidRPr="00651DDA" w:rsidRDefault="00D0395A" w:rsidP="00D0395A">
      <w:pPr>
        <w:jc w:val="center"/>
        <w:rPr>
          <w:rFonts w:cs="Arial"/>
          <w:b/>
        </w:rPr>
      </w:pPr>
    </w:p>
    <w:p w:rsidR="00D0395A" w:rsidRPr="00651DDA" w:rsidRDefault="00D0395A" w:rsidP="00D0395A">
      <w:pPr>
        <w:jc w:val="center"/>
        <w:rPr>
          <w:rFonts w:cs="Arial"/>
          <w:b/>
        </w:rPr>
      </w:pPr>
    </w:p>
    <w:p w:rsidR="00D0395A" w:rsidRDefault="00D0395A" w:rsidP="00D0395A">
      <w:pPr>
        <w:pStyle w:val="Fecha"/>
        <w:jc w:val="right"/>
      </w:pPr>
      <w:r>
        <w:t>2</w:t>
      </w:r>
      <w:r>
        <w:t>6</w:t>
      </w:r>
      <w:r>
        <w:rPr>
          <w:vertAlign w:val="superscript"/>
        </w:rPr>
        <w:t xml:space="preserve"> </w:t>
      </w:r>
      <w:r>
        <w:t xml:space="preserve">de </w:t>
      </w:r>
      <w:r>
        <w:t>diciembre</w:t>
      </w:r>
      <w:r>
        <w:t xml:space="preserve"> de</w:t>
      </w:r>
      <w:r w:rsidRPr="00651DDA">
        <w:t xml:space="preserve"> 2018</w:t>
      </w:r>
      <w:bookmarkStart w:id="0" w:name="_Toc202094733"/>
      <w:bookmarkStart w:id="1" w:name="_Toc202096191"/>
      <w:bookmarkStart w:id="2" w:name="_Toc201853207"/>
      <w:bookmarkStart w:id="3" w:name="_Toc201853436"/>
      <w:bookmarkStart w:id="4" w:name="_Toc201853592"/>
      <w:bookmarkStart w:id="5" w:name="_Toc201853649"/>
      <w:bookmarkStart w:id="6" w:name="_Toc201853887"/>
      <w:bookmarkStart w:id="7" w:name="_Toc201854098"/>
      <w:bookmarkStart w:id="8" w:name="_Toc201997285"/>
      <w:bookmarkStart w:id="9" w:name="_Toc202011752"/>
      <w:bookmarkStart w:id="10" w:name="_Toc201853215"/>
      <w:bookmarkStart w:id="11" w:name="_Toc201853444"/>
      <w:bookmarkStart w:id="12" w:name="_Toc201853600"/>
      <w:bookmarkStart w:id="13" w:name="_Toc201853657"/>
      <w:bookmarkStart w:id="14" w:name="_Toc201853895"/>
      <w:bookmarkStart w:id="15" w:name="_Toc201854106"/>
      <w:bookmarkStart w:id="16" w:name="_Toc201997294"/>
      <w:bookmarkStart w:id="17" w:name="_Toc2020117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D3425" w:rsidRDefault="00BD3425" w:rsidP="00D0395A">
      <w:pPr>
        <w:spacing w:after="200" w:line="276" w:lineRule="auto"/>
      </w:pPr>
    </w:p>
    <w:p w:rsidR="00BD3425" w:rsidRDefault="00BD3425">
      <w:r>
        <w:br w:type="page"/>
      </w:r>
    </w:p>
    <w:p w:rsidR="00D0395A" w:rsidRDefault="00D0395A" w:rsidP="00D0395A">
      <w:pPr>
        <w:spacing w:after="200" w:line="276" w:lineRule="auto"/>
      </w:pPr>
      <w:bookmarkStart w:id="18" w:name="_GoBack"/>
      <w:bookmarkEnd w:id="18"/>
      <w:r>
        <w:br w:type="page"/>
      </w:r>
    </w:p>
    <w:p w:rsidR="00D0395A" w:rsidRDefault="00D0395A" w:rsidP="00D0395A">
      <w:pPr>
        <w:rPr>
          <w:rFonts w:ascii="Arial" w:hAnsi="Arial" w:cs="Arial"/>
        </w:rPr>
      </w:pPr>
      <w:r w:rsidRPr="00D0395A">
        <w:rPr>
          <w:rFonts w:ascii="Arial" w:hAnsi="Arial" w:cs="Arial"/>
          <w:b/>
        </w:rPr>
        <w:lastRenderedPageBreak/>
        <w:t>Nota:</w:t>
      </w:r>
      <w:r w:rsidRPr="00D0395A">
        <w:rPr>
          <w:rFonts w:ascii="Arial" w:hAnsi="Arial" w:cs="Arial"/>
        </w:rPr>
        <w:t xml:space="preserve"> Esta Guía de puesta en marcha rápida se aplica a la versión de software v01.01.53 y posteriores.</w:t>
      </w:r>
    </w:p>
    <w:p w:rsidR="00D0395A" w:rsidRPr="00D0395A" w:rsidRDefault="00D0395A" w:rsidP="00D0395A">
      <w:pPr>
        <w:rPr>
          <w:rFonts w:ascii="Arial" w:hAnsi="Arial" w:cs="Arial"/>
        </w:rPr>
      </w:pPr>
    </w:p>
    <w:p w:rsidR="00D0395A" w:rsidRPr="00D0395A" w:rsidRDefault="00D0395A" w:rsidP="00D0395A">
      <w:pPr>
        <w:rPr>
          <w:rFonts w:ascii="Arial" w:hAnsi="Arial" w:cs="Arial"/>
        </w:rPr>
      </w:pPr>
    </w:p>
    <w:p w:rsidR="00D0395A" w:rsidRPr="00D0395A" w:rsidRDefault="00D0395A" w:rsidP="00D0395A">
      <w:pPr>
        <w:jc w:val="center"/>
        <w:rPr>
          <w:rFonts w:ascii="Arial" w:hAnsi="Arial" w:cs="Arial"/>
          <w:b/>
        </w:rPr>
      </w:pPr>
      <w:r w:rsidRPr="00D0395A">
        <w:rPr>
          <w:rFonts w:ascii="Arial" w:hAnsi="Arial" w:cs="Arial"/>
          <w:b/>
        </w:rPr>
        <w:t>Introducción</w:t>
      </w:r>
    </w:p>
    <w:p w:rsidR="00D0395A" w:rsidRPr="00D0395A" w:rsidRDefault="00D0395A" w:rsidP="00D0395A">
      <w:pPr>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La guía proporciona instrucciones básicas para utilizar la línea Braille electrónica Orbit 20. Para obtener instrucciones e información más completas, consulte el Manual del Usuario del Lector Orbit 20 incluida en la tarjeta SD o en línea en  </w:t>
      </w:r>
      <w:hyperlink r:id="rId6" w:history="1">
        <w:r w:rsidRPr="00EE7A61">
          <w:rPr>
            <w:rStyle w:val="Hipervnculo"/>
            <w:rFonts w:ascii="Arial" w:hAnsi="Arial" w:cs="Arial"/>
          </w:rPr>
          <w:t>www.orbitresearch.com/or20</w:t>
        </w:r>
      </w:hyperlink>
      <w:r w:rsidRPr="00D0395A">
        <w:rPr>
          <w:rFonts w:ascii="Arial" w:hAnsi="Arial" w:cs="Arial"/>
        </w:rPr>
        <w:t>.</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El Lector Orbit 20 es un dispositivo único 3 en 1 que permite a un usuario ciego o discapacitado visual leer libros y documentos en braille, tomar notas y guardarlas como archivos de texto o braille, y acceder fácilmente a todas las funciones de un Computador o teléfono inteligente, como la navegación web, correo electrónico y mensajes de texto.</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Los materiales de lectura que antes estaban disponibles en braille en papel, ahora se pueden leer en el lector compacto y portátil Orbit 20. Miles de libros se pueden almacenar en tarjetas de memoria pequeñas, conocidas como tarjetas SD. Las personas ciegas que solían escribir notas utilizando una pauta y un punzón o una máquina Perkins, ahora pueden escribir braille con el Lector Orbit 20, que incluye un teclado braille de 6 teclas similar y es mucho más silencioso y rápido, además no produce fatiga. Las notas se almacenan en la tarjeta SD y se pueden transferir a un computador o teléfono inteligente con lo que cualquier persona puede leerlas.</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El Lector Orbit produce signos braille utilizando punzones que pueden moverse hacia arriba y hacia abajo para representar caracteres braille y mostrarlos en un segmento de 20 caracteres, también conocidos como celdas. Cualquier contenido de texto o braille se muestra instantáneamente en el dispositivo, 20 caracteres a la vez, y una vez que haya leído la primera línea de 20 caracteres, puede moverse a la siguiente línea pulsando un botón, conocido como botón de desplazamiento. Hay dos botones de este tipo, uno a cada lado de la línea de celdas braille.</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En la Caja</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Los siguientes artículos están incluidos en el paquete. Póngase en contacto con su distribuidor, si algo falta o está dañado:</w:t>
      </w:r>
    </w:p>
    <w:p w:rsidR="00D0395A" w:rsidRPr="00D0395A" w:rsidRDefault="00D0395A" w:rsidP="00D0395A">
      <w:pPr>
        <w:jc w:val="both"/>
        <w:rPr>
          <w:rFonts w:ascii="Arial" w:hAnsi="Arial" w:cs="Arial"/>
        </w:rPr>
      </w:pP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Un Lector Orbit 20</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Un Cargador</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Un Cable USB (USB-A a Micro-B)</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Una Tarjeta SD con el Manual de Usuario y otros contenidos (instalada en la unidad)</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Una Guía de puesta en marcha rápida</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La orientación de funcionamiento normal del dispositivo es con la línea de celdas braille más próxima hacia usted. En el lado izquierdo y derecho de la línea </w:t>
      </w:r>
      <w:r w:rsidRPr="00D0395A">
        <w:rPr>
          <w:rFonts w:ascii="Arial" w:hAnsi="Arial" w:cs="Arial"/>
        </w:rPr>
        <w:lastRenderedPageBreak/>
        <w:t>hay dos botones. Estos botones se utilizan para saltar a la línea braille siguiente o anterior y se conocen como “teclas de desplazamiento”.</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Justo encima de la línea de celdas braille hay tres teclas. La tecla de la izquierda es la tecla correspondiente al Punto 7, la tecla más ancha, en el medio, es la tecla de Espacio, y la tecla de la derecha es la tecla correspondiente al Punto 8.</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Las seis teclas del teclado braille están ubicadas cerca del borde del dispositivo más alejado de usted. De izquierda a derecha, las teclas se denominan Punto 3, Punto 2, Punto 1, Punto 4, Punto 5 y Punto 6. Estas teclas se utilizan para escribir en braille y para introducir comandos. En el centro de la unidad se encuentra el teclado de navegación con cuatro botones direccionales (flechas arriba, abajo, izquierda y derecha) y un botón Seleccionar. Estos botones se utilizan para moverse dentro del libro o archivo y a través de los menús.</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El botón de Encendido, la ranura de la tarjeta SD y el puerto Micro-USB están en un área empotrada en el lado izquierdo del borde posterior del dispositivo. El botón de encendido es de forma cuadrada y sobresale ligeramente. La ranura de la tarjeta SD está identificada por 2 puntos debajo de ella y el puerto USB por un punto.</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Cargando el Dispositivo</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Recomendamos cargar el dispositivo completamente antes o durante el primer uso. Para cargar la batería, conecte el extremo pequeño del cable al puerto USB e inserte el otro extremo en el cargador suministrado o en un puerto USB de un computador.</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Encendiendo y Apagando</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Para encender el dispositivo, mantenga pulsado el botón de encendido durante 2 segundos. Si el dispositivo ya está encendido, al mantener pulsado el botón de encendido durante 2 segundos, se apagará. Si el dispositivo funciona con baterías y no realiza ninguna opción con él durante 10 minutos, se apagará automáticamente para ahorrar energía. El dispositivo activará todos los puntos momentáneamente para indicar su encendido y apagado.</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Ajustes de Idioma (Localización)</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Su Lector Orbit 20 viene con soporte para varios idiomas y puede cambiar el idioma de trabajo para satisfacer sus necesidades (conocido como localización). La tabla de traducción predeterminada que se utiliza es ASCII en braille inglés. La tabla en inglés está disponible siempre dentro del dispositivo y puede utilizarse incluso después de realizar la localización. Solo se puede cargar un idioma a la vez que con el inglés.</w:t>
      </w:r>
    </w:p>
    <w:p w:rsidR="00D0395A" w:rsidRPr="00D0395A" w:rsidRDefault="00D0395A" w:rsidP="00D0395A">
      <w:pPr>
        <w:jc w:val="both"/>
        <w:rPr>
          <w:rFonts w:ascii="Arial" w:hAnsi="Arial" w:cs="Arial"/>
        </w:rPr>
      </w:pPr>
      <w:r w:rsidRPr="00D0395A">
        <w:rPr>
          <w:rFonts w:ascii="Arial" w:hAnsi="Arial" w:cs="Arial"/>
        </w:rPr>
        <w:t xml:space="preserve">  Para realizar la localización del Lector Orbit 20, puede crear y cargar los archivos de localización o simplemente cargar los archivos existentes en el dispositivo. Consulte el enlace  http://www.orbitresearch.com/support/orbit-reader-20-support/orbit-reader-localization-download/ para obtener instrucciones sobre cómo crear y cargar archivos de localización.</w:t>
      </w:r>
    </w:p>
    <w:p w:rsidR="00D0395A" w:rsidRPr="00D0395A" w:rsidRDefault="00D0395A" w:rsidP="00D0395A">
      <w:pPr>
        <w:jc w:val="both"/>
        <w:rPr>
          <w:rFonts w:ascii="Arial" w:hAnsi="Arial" w:cs="Arial"/>
        </w:rPr>
      </w:pPr>
      <w:r w:rsidRPr="00D0395A">
        <w:rPr>
          <w:rFonts w:ascii="Arial" w:hAnsi="Arial" w:cs="Arial"/>
        </w:rPr>
        <w:lastRenderedPageBreak/>
        <w:t>Una vez que se cargan los archivos de localización, puede cambiar entre archivos para diferentes opciones de idioma. Consulte el manual del Usuario para obtener más detalles.</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Leyendo</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El Lector Orbit 20 viene con una tarjeta SD insertada que contiene el Manual del Usuario y el material transcrito en braille que ya se encuentra en ella. Si se retira la tarjeta SD o no hay una tarjeta SD cuando la unidad esté encendida, el Lector Orbit 20 muestra "No hay tarjeta SD”. Para insertar una tarjeta en la ranura, asegúrese de que sus terminales de contacto estén orientados hacia abajo y empújela suavemente hasta que escuche o sienta un clic. Para quitar una tarjeta, presiónela y suéltela.</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Cuando encienda el dispositivo por primera vez, la línea braille muestra el nombre del primer archivo o carpeta en la tarjeta SD. Puede desplazarse por la lista de archivos con los botones de flecha hacia arriba y hacia abajo en el teclado de navegación.</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Para abrir un archivo de la lista para leer, pulse la tecla Seleccionar. Para leer un archivo, utilice los botones de desplazamiento para avanzar o retroceder a través del contenido de los veinte caracteres presentados a la vez. Para salir de la lectura de un archivo y volver a la lista de archivos y carpetas, presione la tecla Punto 7.</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Conectando a un Computador o Teléfono Inteligente</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El Lector Orbit 20 puede conectarse a computadores y dispositivos móviles para acceder a todas sus funciones y utilizando braille. La conexión puede realizarse a través de USB o Bluetooth.</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El acceso a las funciones del computador o dispositivo móvil se realiza a través de un programa de software llamado Lector de pantalla. Este software está disponible para todas las plataformas, incluyendo Android, iOS, Windows, Mac OS, Chrome y Amazon FireOS, y ha sido probado para que funcione sin problemas con el Lector Orbit 20. Para obtener más información, consulte el Manual del Usuario.</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 xml:space="preserve">Creando y Editando Archivos  </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Para crear un nuevo archivo, pulse la tecla Espacio y las teclas de puntos correspondientes a la letra "N" (teclas de puntos 1 3 4 5). Comience a escribir con las teclas Punto 1 a Punto 8.</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Para editar un archivo que esté leyendo, pulse la tecla de Espacio y las teclas de puntos correspondientes a la letra "E" (teclas de puntos 1 5).</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Para salir del Editor, presione la tecla ‘Seleccionar’ dos veces. El cursor desaparece y vuelve al archivo que estaba leyendo. Si ha creado un nuevo </w:t>
      </w:r>
      <w:r w:rsidRPr="00D0395A">
        <w:rPr>
          <w:rFonts w:ascii="Arial" w:hAnsi="Arial" w:cs="Arial"/>
        </w:rPr>
        <w:lastRenderedPageBreak/>
        <w:t>archivo, el editor nombra automáticamente el archivo con los primeros 20 caracteres del archivo. Puede cambiar el nombre del archivo si lo desea.</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Ajustando sus Preferencias</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El lector Orbit 20 ofrece varias opciones a las que se accede a través de un menú. Esto le permite realizar acciones como verificar el estado de la batería, configurar la forma en que se muestra el braille, etc.</w:t>
      </w:r>
    </w:p>
    <w:p w:rsidR="00D0395A" w:rsidRPr="00D0395A" w:rsidRDefault="00D0395A" w:rsidP="00D0395A">
      <w:pPr>
        <w:jc w:val="both"/>
        <w:rPr>
          <w:rFonts w:ascii="Arial" w:hAnsi="Arial" w:cs="Arial"/>
        </w:rPr>
      </w:pP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Para ver el menú, presione la tecla Seleccionar y Flecha arriba</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Para moverse por los elementos del menú, presione las teclas de flecha arriba o abajo</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Para ver las opciones de un elemento en el menú, presione las teclas de flecha derecha o izquierda</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Para seleccionar o deseleccionar una opción, presione la tecla Seleccionar</w:t>
      </w:r>
    </w:p>
    <w:p w:rsidR="00D0395A" w:rsidRPr="00D0395A" w:rsidRDefault="00D0395A" w:rsidP="00D0395A">
      <w:pPr>
        <w:pStyle w:val="Prrafodelista"/>
        <w:numPr>
          <w:ilvl w:val="0"/>
          <w:numId w:val="2"/>
        </w:numPr>
        <w:jc w:val="both"/>
        <w:rPr>
          <w:rFonts w:ascii="Arial" w:hAnsi="Arial" w:cs="Arial"/>
        </w:rPr>
      </w:pPr>
      <w:r w:rsidRPr="00D0395A">
        <w:rPr>
          <w:rFonts w:ascii="Arial" w:hAnsi="Arial" w:cs="Arial"/>
        </w:rPr>
        <w:t>Para cerrar el Menú, presione la tecla Punto 7</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b/>
        </w:rPr>
      </w:pPr>
      <w:r w:rsidRPr="00D0395A">
        <w:rPr>
          <w:rFonts w:ascii="Arial" w:hAnsi="Arial" w:cs="Arial"/>
          <w:b/>
        </w:rPr>
        <w:t xml:space="preserve">Para Mayor Información </w:t>
      </w:r>
    </w:p>
    <w:p w:rsidR="00D0395A" w:rsidRPr="00D0395A" w:rsidRDefault="00D0395A" w:rsidP="00D0395A">
      <w:pPr>
        <w:jc w:val="both"/>
        <w:rPr>
          <w:rFonts w:ascii="Arial" w:hAnsi="Arial" w:cs="Arial"/>
        </w:rPr>
      </w:pPr>
    </w:p>
    <w:p w:rsidR="00D0395A" w:rsidRDefault="00D0395A" w:rsidP="00D0395A">
      <w:pPr>
        <w:jc w:val="both"/>
        <w:rPr>
          <w:rFonts w:ascii="Arial" w:hAnsi="Arial" w:cs="Arial"/>
        </w:rPr>
      </w:pPr>
      <w:r w:rsidRPr="00D0395A">
        <w:rPr>
          <w:rFonts w:ascii="Arial" w:hAnsi="Arial" w:cs="Arial"/>
        </w:rPr>
        <w:t xml:space="preserve">  Para obtener la información más reciente, especificaciones, consejos para la solución de problemas, instrucciones de actualización de software, información sobre cuidado y uso, información de garantía e instrucciones más detalladas, visite el sitio web del Lector Orbit 20 en </w:t>
      </w:r>
      <w:hyperlink r:id="rId7" w:history="1">
        <w:r w:rsidRPr="00EE7A61">
          <w:rPr>
            <w:rStyle w:val="Hipervnculo"/>
            <w:rFonts w:ascii="Arial" w:hAnsi="Arial" w:cs="Arial"/>
          </w:rPr>
          <w:t>www.orbitresearch.com/or20</w:t>
        </w:r>
      </w:hyperlink>
      <w:r w:rsidRPr="00D0395A">
        <w:rPr>
          <w:rFonts w:ascii="Arial" w:hAnsi="Arial" w:cs="Arial"/>
        </w:rPr>
        <w:t>.</w:t>
      </w:r>
    </w:p>
    <w:p w:rsidR="00D0395A" w:rsidRPr="00D0395A" w:rsidRDefault="00D0395A" w:rsidP="00D0395A">
      <w:pPr>
        <w:jc w:val="both"/>
        <w:rPr>
          <w:rFonts w:ascii="Arial" w:hAnsi="Arial" w:cs="Arial"/>
        </w:rPr>
      </w:pPr>
    </w:p>
    <w:p w:rsidR="00D0395A" w:rsidRPr="00D0395A" w:rsidRDefault="00D0395A" w:rsidP="00D0395A">
      <w:pPr>
        <w:jc w:val="both"/>
        <w:rPr>
          <w:rFonts w:ascii="Arial" w:hAnsi="Arial" w:cs="Arial"/>
        </w:rPr>
      </w:pPr>
      <w:r w:rsidRPr="00D0395A">
        <w:rPr>
          <w:rFonts w:ascii="Arial" w:hAnsi="Arial" w:cs="Arial"/>
        </w:rPr>
        <w:t xml:space="preserve">  Si tiene más preguntas o inquietudes que no se tratan en esta Guía de puesta en marcha rápida o en el Manual de Usuario, comuníquese con el distribuidor donde adquirió su Lector Orbit 20.</w:t>
      </w:r>
    </w:p>
    <w:p w:rsidR="00BB7490" w:rsidRPr="00C71C38" w:rsidRDefault="00BB7490" w:rsidP="00D0395A">
      <w:pPr>
        <w:jc w:val="both"/>
        <w:rPr>
          <w:rFonts w:ascii="Arial" w:hAnsi="Arial" w:cs="Arial"/>
        </w:rPr>
      </w:pPr>
    </w:p>
    <w:sectPr w:rsidR="00BB7490" w:rsidRPr="00C71C38" w:rsidSect="00BB74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82FC3"/>
    <w:multiLevelType w:val="hybridMultilevel"/>
    <w:tmpl w:val="92321D80"/>
    <w:lvl w:ilvl="0" w:tplc="A838FE8A">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D353BD"/>
    <w:multiLevelType w:val="hybridMultilevel"/>
    <w:tmpl w:val="7E504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940A84"/>
    <w:multiLevelType w:val="hybridMultilevel"/>
    <w:tmpl w:val="3A9E1336"/>
    <w:lvl w:ilvl="0" w:tplc="A838FE8A">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5A"/>
    <w:rsid w:val="00017512"/>
    <w:rsid w:val="000238C2"/>
    <w:rsid w:val="00025579"/>
    <w:rsid w:val="00026ADF"/>
    <w:rsid w:val="00034DE5"/>
    <w:rsid w:val="00042BAB"/>
    <w:rsid w:val="00043A7E"/>
    <w:rsid w:val="00047225"/>
    <w:rsid w:val="00051144"/>
    <w:rsid w:val="00055A9D"/>
    <w:rsid w:val="0005741D"/>
    <w:rsid w:val="00060D70"/>
    <w:rsid w:val="000616EF"/>
    <w:rsid w:val="000624A8"/>
    <w:rsid w:val="000667DE"/>
    <w:rsid w:val="00082469"/>
    <w:rsid w:val="000876DC"/>
    <w:rsid w:val="00090EF1"/>
    <w:rsid w:val="00097423"/>
    <w:rsid w:val="000A0D05"/>
    <w:rsid w:val="000A646A"/>
    <w:rsid w:val="000C3EA0"/>
    <w:rsid w:val="000C4F79"/>
    <w:rsid w:val="000F0A0E"/>
    <w:rsid w:val="000F208C"/>
    <w:rsid w:val="00100035"/>
    <w:rsid w:val="001037C1"/>
    <w:rsid w:val="0011138C"/>
    <w:rsid w:val="00112CE5"/>
    <w:rsid w:val="00130FDE"/>
    <w:rsid w:val="00137A32"/>
    <w:rsid w:val="00146415"/>
    <w:rsid w:val="001473DC"/>
    <w:rsid w:val="0015629D"/>
    <w:rsid w:val="00162571"/>
    <w:rsid w:val="0016260D"/>
    <w:rsid w:val="001678BA"/>
    <w:rsid w:val="00170563"/>
    <w:rsid w:val="001830C3"/>
    <w:rsid w:val="00184EC3"/>
    <w:rsid w:val="00186655"/>
    <w:rsid w:val="00195582"/>
    <w:rsid w:val="001A126B"/>
    <w:rsid w:val="001A22A4"/>
    <w:rsid w:val="001B4384"/>
    <w:rsid w:val="001D53AD"/>
    <w:rsid w:val="001E0965"/>
    <w:rsid w:val="001E12EB"/>
    <w:rsid w:val="001E50E4"/>
    <w:rsid w:val="001F2752"/>
    <w:rsid w:val="001F55D5"/>
    <w:rsid w:val="00230BB1"/>
    <w:rsid w:val="00234E39"/>
    <w:rsid w:val="002351F8"/>
    <w:rsid w:val="002360BB"/>
    <w:rsid w:val="00246400"/>
    <w:rsid w:val="0025614D"/>
    <w:rsid w:val="00262CF0"/>
    <w:rsid w:val="002654A9"/>
    <w:rsid w:val="002828BC"/>
    <w:rsid w:val="0028547E"/>
    <w:rsid w:val="002B0DE5"/>
    <w:rsid w:val="002B0F44"/>
    <w:rsid w:val="002B6849"/>
    <w:rsid w:val="002C1168"/>
    <w:rsid w:val="002C33D5"/>
    <w:rsid w:val="002C4B02"/>
    <w:rsid w:val="002C5B0F"/>
    <w:rsid w:val="002D30AB"/>
    <w:rsid w:val="002D4E83"/>
    <w:rsid w:val="002F37BC"/>
    <w:rsid w:val="003066C6"/>
    <w:rsid w:val="003079C1"/>
    <w:rsid w:val="0031209D"/>
    <w:rsid w:val="0032559B"/>
    <w:rsid w:val="003279F3"/>
    <w:rsid w:val="00327DE0"/>
    <w:rsid w:val="00345456"/>
    <w:rsid w:val="00357A1F"/>
    <w:rsid w:val="00365B97"/>
    <w:rsid w:val="00371B28"/>
    <w:rsid w:val="003761F7"/>
    <w:rsid w:val="003775E0"/>
    <w:rsid w:val="003805CE"/>
    <w:rsid w:val="0038688C"/>
    <w:rsid w:val="00395D67"/>
    <w:rsid w:val="003C0E6D"/>
    <w:rsid w:val="003C377F"/>
    <w:rsid w:val="003C4206"/>
    <w:rsid w:val="003C4A7F"/>
    <w:rsid w:val="003D0553"/>
    <w:rsid w:val="003E74AA"/>
    <w:rsid w:val="00400423"/>
    <w:rsid w:val="00401DF0"/>
    <w:rsid w:val="00433054"/>
    <w:rsid w:val="00492607"/>
    <w:rsid w:val="00494D76"/>
    <w:rsid w:val="004B51F1"/>
    <w:rsid w:val="004D1090"/>
    <w:rsid w:val="004D2643"/>
    <w:rsid w:val="004E1C7C"/>
    <w:rsid w:val="004E32FD"/>
    <w:rsid w:val="004E3BC1"/>
    <w:rsid w:val="004E518D"/>
    <w:rsid w:val="004F4259"/>
    <w:rsid w:val="004F4C1B"/>
    <w:rsid w:val="004F52DE"/>
    <w:rsid w:val="005230B4"/>
    <w:rsid w:val="00534D47"/>
    <w:rsid w:val="0054726E"/>
    <w:rsid w:val="00553198"/>
    <w:rsid w:val="005612D2"/>
    <w:rsid w:val="005640E0"/>
    <w:rsid w:val="005A01C1"/>
    <w:rsid w:val="005A0A4B"/>
    <w:rsid w:val="005A1691"/>
    <w:rsid w:val="005C68F1"/>
    <w:rsid w:val="005D497C"/>
    <w:rsid w:val="005D7820"/>
    <w:rsid w:val="005E05BC"/>
    <w:rsid w:val="005E7826"/>
    <w:rsid w:val="005F1F4C"/>
    <w:rsid w:val="005F4C3C"/>
    <w:rsid w:val="005F58E5"/>
    <w:rsid w:val="00604DD9"/>
    <w:rsid w:val="00610BDB"/>
    <w:rsid w:val="00622DA7"/>
    <w:rsid w:val="00627D85"/>
    <w:rsid w:val="006315EE"/>
    <w:rsid w:val="006355A8"/>
    <w:rsid w:val="0063769F"/>
    <w:rsid w:val="00641457"/>
    <w:rsid w:val="006441B9"/>
    <w:rsid w:val="00652C75"/>
    <w:rsid w:val="00653360"/>
    <w:rsid w:val="00667E37"/>
    <w:rsid w:val="0067070E"/>
    <w:rsid w:val="006746FD"/>
    <w:rsid w:val="006777E0"/>
    <w:rsid w:val="00690F93"/>
    <w:rsid w:val="006924A1"/>
    <w:rsid w:val="00693A05"/>
    <w:rsid w:val="006B2FC7"/>
    <w:rsid w:val="006B37BA"/>
    <w:rsid w:val="006B46D4"/>
    <w:rsid w:val="006C033E"/>
    <w:rsid w:val="006C6630"/>
    <w:rsid w:val="006D7829"/>
    <w:rsid w:val="006F148F"/>
    <w:rsid w:val="006F2C98"/>
    <w:rsid w:val="006F7960"/>
    <w:rsid w:val="007172FA"/>
    <w:rsid w:val="00717697"/>
    <w:rsid w:val="007558FC"/>
    <w:rsid w:val="00757F95"/>
    <w:rsid w:val="007742A4"/>
    <w:rsid w:val="00776B51"/>
    <w:rsid w:val="00777465"/>
    <w:rsid w:val="00787142"/>
    <w:rsid w:val="00787629"/>
    <w:rsid w:val="00791998"/>
    <w:rsid w:val="007B0642"/>
    <w:rsid w:val="007C4993"/>
    <w:rsid w:val="007C523B"/>
    <w:rsid w:val="007E2F1D"/>
    <w:rsid w:val="007E5B4A"/>
    <w:rsid w:val="007F1098"/>
    <w:rsid w:val="007F72AC"/>
    <w:rsid w:val="00800FE5"/>
    <w:rsid w:val="008040C8"/>
    <w:rsid w:val="008104B7"/>
    <w:rsid w:val="00811737"/>
    <w:rsid w:val="00814357"/>
    <w:rsid w:val="00830AF0"/>
    <w:rsid w:val="00833659"/>
    <w:rsid w:val="00835F8F"/>
    <w:rsid w:val="00844349"/>
    <w:rsid w:val="00846453"/>
    <w:rsid w:val="00861BDC"/>
    <w:rsid w:val="00875A1B"/>
    <w:rsid w:val="00881F98"/>
    <w:rsid w:val="008940AF"/>
    <w:rsid w:val="008B137D"/>
    <w:rsid w:val="008B138E"/>
    <w:rsid w:val="008B34E7"/>
    <w:rsid w:val="008B61AF"/>
    <w:rsid w:val="008C0D4E"/>
    <w:rsid w:val="008C18CC"/>
    <w:rsid w:val="008C1C4A"/>
    <w:rsid w:val="008C6244"/>
    <w:rsid w:val="008D098E"/>
    <w:rsid w:val="008D2AD2"/>
    <w:rsid w:val="008D2F48"/>
    <w:rsid w:val="008D6385"/>
    <w:rsid w:val="008D6E8E"/>
    <w:rsid w:val="008E13E3"/>
    <w:rsid w:val="008E2CE9"/>
    <w:rsid w:val="008E3861"/>
    <w:rsid w:val="008E4C8C"/>
    <w:rsid w:val="008F55D9"/>
    <w:rsid w:val="0092496C"/>
    <w:rsid w:val="009317E7"/>
    <w:rsid w:val="00940C97"/>
    <w:rsid w:val="00943383"/>
    <w:rsid w:val="00961ACA"/>
    <w:rsid w:val="009662E2"/>
    <w:rsid w:val="00970994"/>
    <w:rsid w:val="00994272"/>
    <w:rsid w:val="009A685A"/>
    <w:rsid w:val="009B3AD3"/>
    <w:rsid w:val="009B3B7A"/>
    <w:rsid w:val="009B46E0"/>
    <w:rsid w:val="009F27C1"/>
    <w:rsid w:val="009F4D7B"/>
    <w:rsid w:val="00A049D9"/>
    <w:rsid w:val="00A07AA3"/>
    <w:rsid w:val="00A10F65"/>
    <w:rsid w:val="00A444EB"/>
    <w:rsid w:val="00A45CCA"/>
    <w:rsid w:val="00A4688E"/>
    <w:rsid w:val="00A5269B"/>
    <w:rsid w:val="00A81304"/>
    <w:rsid w:val="00A8215C"/>
    <w:rsid w:val="00A87BC9"/>
    <w:rsid w:val="00AA5A92"/>
    <w:rsid w:val="00AA7028"/>
    <w:rsid w:val="00AD6401"/>
    <w:rsid w:val="00AD6FF3"/>
    <w:rsid w:val="00AF142C"/>
    <w:rsid w:val="00AF4845"/>
    <w:rsid w:val="00B04B75"/>
    <w:rsid w:val="00B05831"/>
    <w:rsid w:val="00B06C21"/>
    <w:rsid w:val="00B109E6"/>
    <w:rsid w:val="00B20C11"/>
    <w:rsid w:val="00B307A1"/>
    <w:rsid w:val="00B3721F"/>
    <w:rsid w:val="00B424E8"/>
    <w:rsid w:val="00B43CE3"/>
    <w:rsid w:val="00B52E81"/>
    <w:rsid w:val="00B56B51"/>
    <w:rsid w:val="00B728BC"/>
    <w:rsid w:val="00B8048A"/>
    <w:rsid w:val="00B910C5"/>
    <w:rsid w:val="00BA30E8"/>
    <w:rsid w:val="00BA3440"/>
    <w:rsid w:val="00BB0BC2"/>
    <w:rsid w:val="00BB1BEA"/>
    <w:rsid w:val="00BB7490"/>
    <w:rsid w:val="00BC0195"/>
    <w:rsid w:val="00BD3425"/>
    <w:rsid w:val="00BE225F"/>
    <w:rsid w:val="00BE2C8E"/>
    <w:rsid w:val="00C054AF"/>
    <w:rsid w:val="00C12E84"/>
    <w:rsid w:val="00C14D31"/>
    <w:rsid w:val="00C40496"/>
    <w:rsid w:val="00C50939"/>
    <w:rsid w:val="00C50AC1"/>
    <w:rsid w:val="00C57660"/>
    <w:rsid w:val="00C65EDC"/>
    <w:rsid w:val="00C71C38"/>
    <w:rsid w:val="00C72A63"/>
    <w:rsid w:val="00CB2C20"/>
    <w:rsid w:val="00CD124A"/>
    <w:rsid w:val="00CF0D56"/>
    <w:rsid w:val="00CF77E4"/>
    <w:rsid w:val="00D00B6A"/>
    <w:rsid w:val="00D029A8"/>
    <w:rsid w:val="00D0395A"/>
    <w:rsid w:val="00D25598"/>
    <w:rsid w:val="00D25B3F"/>
    <w:rsid w:val="00D2641B"/>
    <w:rsid w:val="00D309D2"/>
    <w:rsid w:val="00D4125B"/>
    <w:rsid w:val="00D4647E"/>
    <w:rsid w:val="00D55215"/>
    <w:rsid w:val="00D62433"/>
    <w:rsid w:val="00D702D8"/>
    <w:rsid w:val="00D80D27"/>
    <w:rsid w:val="00D8243A"/>
    <w:rsid w:val="00DA1021"/>
    <w:rsid w:val="00DA3B3B"/>
    <w:rsid w:val="00DA4436"/>
    <w:rsid w:val="00DA5A98"/>
    <w:rsid w:val="00DC5C61"/>
    <w:rsid w:val="00DD345A"/>
    <w:rsid w:val="00DD4E7C"/>
    <w:rsid w:val="00DE1E15"/>
    <w:rsid w:val="00DF00B2"/>
    <w:rsid w:val="00DF1A61"/>
    <w:rsid w:val="00DF4D6F"/>
    <w:rsid w:val="00E0580F"/>
    <w:rsid w:val="00E05E8F"/>
    <w:rsid w:val="00E1047D"/>
    <w:rsid w:val="00E12AFD"/>
    <w:rsid w:val="00E168CE"/>
    <w:rsid w:val="00E1772F"/>
    <w:rsid w:val="00E27D11"/>
    <w:rsid w:val="00E32529"/>
    <w:rsid w:val="00E32748"/>
    <w:rsid w:val="00E335FD"/>
    <w:rsid w:val="00E53188"/>
    <w:rsid w:val="00E61212"/>
    <w:rsid w:val="00E74250"/>
    <w:rsid w:val="00E74B7E"/>
    <w:rsid w:val="00E777E1"/>
    <w:rsid w:val="00E82F5D"/>
    <w:rsid w:val="00E87666"/>
    <w:rsid w:val="00E972C5"/>
    <w:rsid w:val="00EC32B9"/>
    <w:rsid w:val="00ED3CD7"/>
    <w:rsid w:val="00ED4256"/>
    <w:rsid w:val="00EF27DC"/>
    <w:rsid w:val="00F0123E"/>
    <w:rsid w:val="00F0410C"/>
    <w:rsid w:val="00F04AF9"/>
    <w:rsid w:val="00F05DF2"/>
    <w:rsid w:val="00F0780A"/>
    <w:rsid w:val="00F14599"/>
    <w:rsid w:val="00F172FF"/>
    <w:rsid w:val="00F2081A"/>
    <w:rsid w:val="00F21AAF"/>
    <w:rsid w:val="00F24AD8"/>
    <w:rsid w:val="00F25407"/>
    <w:rsid w:val="00F31DD4"/>
    <w:rsid w:val="00F3469A"/>
    <w:rsid w:val="00F42771"/>
    <w:rsid w:val="00F52D0C"/>
    <w:rsid w:val="00F6310C"/>
    <w:rsid w:val="00F65744"/>
    <w:rsid w:val="00F7311C"/>
    <w:rsid w:val="00F8007A"/>
    <w:rsid w:val="00F8502F"/>
    <w:rsid w:val="00FA1713"/>
    <w:rsid w:val="00FA1E41"/>
    <w:rsid w:val="00FC24D9"/>
    <w:rsid w:val="00FC5B29"/>
    <w:rsid w:val="00FD1B24"/>
    <w:rsid w:val="00FD4F44"/>
    <w:rsid w:val="00FD6422"/>
    <w:rsid w:val="00FE0888"/>
    <w:rsid w:val="00FE5E6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7F8ED"/>
  <w15:chartTrackingRefBased/>
  <w15:docId w15:val="{B146B39D-7B26-46E8-B8E0-61A14495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9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Fecha">
    <w:name w:val="Date"/>
    <w:basedOn w:val="Normal"/>
    <w:next w:val="Normal"/>
    <w:link w:val="FechaCar"/>
    <w:uiPriority w:val="99"/>
    <w:unhideWhenUsed/>
    <w:rsid w:val="00D0395A"/>
    <w:rPr>
      <w:rFonts w:ascii="Arial" w:eastAsia="Times New Roman" w:hAnsi="Arial"/>
      <w:lang w:val="es-ES_tradnl"/>
    </w:rPr>
  </w:style>
  <w:style w:type="character" w:customStyle="1" w:styleId="FechaCar">
    <w:name w:val="Fecha Car"/>
    <w:basedOn w:val="Fuentedeprrafopredeter"/>
    <w:link w:val="Fecha"/>
    <w:uiPriority w:val="99"/>
    <w:rsid w:val="00D0395A"/>
    <w:rPr>
      <w:rFonts w:ascii="Arial" w:eastAsia="Times New Roman" w:hAnsi="Arial"/>
      <w:sz w:val="24"/>
      <w:szCs w:val="24"/>
      <w:lang w:val="es-ES_tradnl"/>
    </w:rPr>
  </w:style>
  <w:style w:type="paragraph" w:styleId="Ttulo">
    <w:name w:val="Title"/>
    <w:basedOn w:val="Normal"/>
    <w:next w:val="Normal"/>
    <w:link w:val="TtuloCar"/>
    <w:uiPriority w:val="10"/>
    <w:qFormat/>
    <w:rsid w:val="00D0395A"/>
    <w:pPr>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D0395A"/>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D0395A"/>
    <w:pPr>
      <w:numPr>
        <w:ilvl w:val="1"/>
      </w:numPr>
      <w:spacing w:after="160"/>
    </w:pPr>
    <w:rPr>
      <w:rFonts w:asciiTheme="minorHAnsi" w:eastAsiaTheme="minorEastAsia" w:hAnsiTheme="minorHAnsi" w:cstheme="minorBidi"/>
      <w:color w:val="5A5A5A" w:themeColor="text1" w:themeTint="A5"/>
      <w:spacing w:val="15"/>
      <w:sz w:val="22"/>
      <w:szCs w:val="22"/>
      <w:lang w:val="es-ES_tradnl"/>
    </w:rPr>
  </w:style>
  <w:style w:type="character" w:customStyle="1" w:styleId="SubttuloCar">
    <w:name w:val="Subtítulo Car"/>
    <w:basedOn w:val="Fuentedeprrafopredeter"/>
    <w:link w:val="Subttulo"/>
    <w:uiPriority w:val="11"/>
    <w:rsid w:val="00D0395A"/>
    <w:rPr>
      <w:rFonts w:asciiTheme="minorHAnsi" w:eastAsiaTheme="minorEastAsia" w:hAnsiTheme="minorHAnsi" w:cstheme="minorBidi"/>
      <w:color w:val="5A5A5A" w:themeColor="text1" w:themeTint="A5"/>
      <w:spacing w:val="15"/>
      <w:sz w:val="22"/>
      <w:szCs w:val="22"/>
      <w:lang w:val="es-ES_tradnl"/>
    </w:rPr>
  </w:style>
  <w:style w:type="character" w:styleId="Hipervnculo">
    <w:name w:val="Hyperlink"/>
    <w:basedOn w:val="Fuentedeprrafopredeter"/>
    <w:unhideWhenUsed/>
    <w:rsid w:val="00D0395A"/>
    <w:rPr>
      <w:color w:val="0000FF" w:themeColor="hyperlink"/>
      <w:u w:val="single"/>
    </w:rPr>
  </w:style>
  <w:style w:type="paragraph" w:styleId="Prrafodelista">
    <w:name w:val="List Paragraph"/>
    <w:basedOn w:val="Normal"/>
    <w:uiPriority w:val="34"/>
    <w:qFormat/>
    <w:rsid w:val="00D0395A"/>
    <w:pPr>
      <w:ind w:left="720"/>
      <w:contextualSpacing/>
    </w:pPr>
  </w:style>
  <w:style w:type="paragraph" w:styleId="Textodeglobo">
    <w:name w:val="Balloon Text"/>
    <w:basedOn w:val="Normal"/>
    <w:link w:val="TextodegloboCar"/>
    <w:semiHidden/>
    <w:unhideWhenUsed/>
    <w:rsid w:val="00BD3425"/>
    <w:rPr>
      <w:rFonts w:ascii="Segoe UI" w:hAnsi="Segoe UI" w:cs="Segoe UI"/>
      <w:sz w:val="18"/>
      <w:szCs w:val="18"/>
    </w:rPr>
  </w:style>
  <w:style w:type="character" w:customStyle="1" w:styleId="TextodegloboCar">
    <w:name w:val="Texto de globo Car"/>
    <w:basedOn w:val="Fuentedeprrafopredeter"/>
    <w:link w:val="Textodeglobo"/>
    <w:semiHidden/>
    <w:rsid w:val="00BD3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bitresearch.com/or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bitresearch.com/or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1496</Words>
  <Characters>7731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Izquierdo García, Francisco Javier</dc:creator>
  <cp:keywords/>
  <dc:description/>
  <cp:lastModifiedBy>Izquierdo García, Francisco Javier</cp:lastModifiedBy>
  <cp:revision>2</cp:revision>
  <cp:lastPrinted>2019-03-13T13:23:00Z</cp:lastPrinted>
  <dcterms:created xsi:type="dcterms:W3CDTF">2019-03-13T13:14:00Z</dcterms:created>
  <dcterms:modified xsi:type="dcterms:W3CDTF">2019-03-13T13:24:00Z</dcterms:modified>
</cp:coreProperties>
</file>